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p>
    <w:p>
      <w:pPr>
        <w:adjustRightInd w:val="0"/>
        <w:snapToGrid w:val="0"/>
        <w:spacing w:line="540" w:lineRule="exact"/>
        <w:jc w:val="right"/>
        <w:rPr>
          <w:rFonts w:hint="eastAsia" w:ascii="华文仿宋" w:hAnsi="华文仿宋" w:eastAsia="华文仿宋" w:cs="华文仿宋"/>
          <w:sz w:val="32"/>
          <w:szCs w:val="32"/>
        </w:rPr>
      </w:pPr>
      <w:r>
        <w:rPr>
          <w:rFonts w:hint="eastAsia" w:ascii="仿宋_GB2312" w:hAnsi="仿宋_GB2312" w:eastAsia="仿宋_GB2312" w:cs="仿宋_GB2312"/>
          <w:sz w:val="32"/>
          <w:szCs w:val="32"/>
        </w:rPr>
        <w:t>同意公开</w:t>
      </w:r>
    </w:p>
    <w:p>
      <w:pPr>
        <w:adjustRightInd w:val="0"/>
        <w:snapToGrid w:val="0"/>
        <w:spacing w:line="540" w:lineRule="exact"/>
        <w:contextualSpacing/>
        <w:jc w:val="center"/>
        <w:rPr>
          <w:w w:val="98"/>
          <w:kern w:val="0"/>
          <w:sz w:val="44"/>
          <w:szCs w:val="44"/>
        </w:rPr>
      </w:pPr>
    </w:p>
    <w:p>
      <w:pPr>
        <w:pStyle w:val="8"/>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9"/>
        <w:rPr>
          <w:rFonts w:ascii="Times New Roman" w:hAnsi="Times New Roman" w:eastAsia="方正小标宋_GBK" w:cs="Times New Roman"/>
          <w:color w:val="FF0000"/>
          <w:spacing w:val="40"/>
          <w:sz w:val="88"/>
          <w:szCs w:val="88"/>
        </w:rPr>
      </w:pPr>
      <w:r>
        <w:rPr>
          <w:rFonts w:ascii="Times New Roman" w:hAnsi="Times New Roman" w:eastAsia="方正小标宋_GBK" w:cs="Times New Roman"/>
          <w:color w:val="FF0000"/>
          <w:spacing w:val="40"/>
          <w:sz w:val="88"/>
          <w:szCs w:val="88"/>
        </w:rPr>
        <w:t>湖 南 省 公 安 厅</w:t>
      </w:r>
    </w:p>
    <w:p>
      <w:pPr>
        <w:adjustRightInd w:val="0"/>
        <w:snapToGrid w:val="0"/>
        <w:spacing w:line="540" w:lineRule="exact"/>
        <w:rPr>
          <w:rFonts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华文仿宋" w:hAnsi="华文仿宋" w:eastAsia="华文仿宋" w:cs="华文仿宋"/>
          <w:sz w:val="32"/>
          <w:szCs w:val="32"/>
        </w:rPr>
      </w:pPr>
      <w:r>
        <w:rPr>
          <w:rFonts w:hint="eastAsia" w:ascii="仿宋_GB2312" w:hAnsi="宋体" w:eastAsia="仿宋_GB2312"/>
          <w:sz w:val="32"/>
          <w:szCs w:val="32"/>
        </w:rPr>
        <w:t>湘公提案复</w:t>
      </w:r>
      <w:r>
        <w:rPr>
          <w:rFonts w:hint="default" w:ascii="Times New Roman" w:hAnsi="Times New Roman" w:eastAsia="仿宋_GB2312" w:cs="Times New Roman"/>
          <w:sz w:val="32"/>
          <w:szCs w:val="32"/>
        </w:rPr>
        <w:t>字〔202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pacing w:val="10"/>
          <w:sz w:val="44"/>
          <w:szCs w:val="44"/>
          <w:u w:val="none"/>
          <w:lang w:val="en-US" w:eastAsia="zh-CN"/>
        </w:rPr>
      </w:pPr>
      <w:r>
        <w:rPr>
          <w:rFonts w:hint="eastAsia" w:ascii="方正小标宋简体" w:hAnsi="方正小标宋简体" w:eastAsia="方正小标宋简体" w:cs="方正小标宋简体"/>
          <w:spacing w:val="10"/>
          <w:sz w:val="44"/>
          <w:szCs w:val="44"/>
          <w:u w:val="none"/>
          <w:lang w:val="en-US" w:eastAsia="zh-CN"/>
        </w:rPr>
        <w:t>对省十三届政协一次会议第0390号提案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spacing w:val="10"/>
          <w:sz w:val="44"/>
          <w:szCs w:val="44"/>
          <w:u w:val="none"/>
          <w:lang w:val="en-US" w:eastAsia="zh-CN"/>
        </w:rPr>
      </w:pPr>
      <w:r>
        <w:rPr>
          <w:rFonts w:hint="eastAsia" w:ascii="方正小标宋简体" w:hAnsi="方正小标宋简体" w:eastAsia="方正小标宋简体" w:cs="方正小标宋简体"/>
          <w:spacing w:val="10"/>
          <w:sz w:val="44"/>
          <w:szCs w:val="44"/>
          <w:u w:val="none"/>
          <w:lang w:val="en-US" w:eastAsia="zh-CN"/>
        </w:rPr>
        <w:t>的答复</w:t>
      </w:r>
    </w:p>
    <w:p>
      <w:pPr>
        <w:pStyle w:val="5"/>
        <w:ind w:left="0" w:leftChars="0" w:firstLine="0" w:firstLineChars="0"/>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李洪梅委员：</w:t>
      </w:r>
    </w:p>
    <w:p>
      <w:pPr>
        <w:pStyle w:val="7"/>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您提出的第</w:t>
      </w:r>
      <w:r>
        <w:rPr>
          <w:rFonts w:hint="default" w:ascii="Times New Roman" w:hAnsi="Times New Roman" w:eastAsia="仿宋" w:cs="Times New Roman"/>
          <w:sz w:val="32"/>
          <w:szCs w:val="32"/>
          <w:lang w:val="en-US" w:eastAsia="zh-CN"/>
        </w:rPr>
        <w:t>0390</w:t>
      </w:r>
      <w:r>
        <w:rPr>
          <w:rFonts w:hint="default" w:ascii="Times New Roman" w:hAnsi="Times New Roman" w:eastAsia="仿宋" w:cs="Times New Roman"/>
          <w:sz w:val="32"/>
          <w:szCs w:val="32"/>
        </w:rPr>
        <w:t>号</w:t>
      </w:r>
      <w:r>
        <w:rPr>
          <w:rFonts w:hint="default" w:ascii="Times New Roman" w:hAnsi="Times New Roman" w:eastAsia="仿宋" w:cs="Times New Roman"/>
          <w:sz w:val="32"/>
          <w:szCs w:val="32"/>
          <w:lang w:eastAsia="zh-CN"/>
        </w:rPr>
        <w:t>提案暨《</w:t>
      </w:r>
      <w:r>
        <w:rPr>
          <w:rFonts w:hint="default" w:ascii="Times New Roman" w:hAnsi="Times New Roman" w:eastAsia="仿宋" w:cs="Times New Roman"/>
          <w:sz w:val="32"/>
          <w:szCs w:val="32"/>
        </w:rPr>
        <w:t>关于加强网贷监管和打击电信网络诈骗犯罪的建议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收悉，</w:t>
      </w:r>
      <w:r>
        <w:rPr>
          <w:rFonts w:hint="default" w:ascii="Times New Roman" w:hAnsi="Times New Roman" w:eastAsia="仿宋" w:cs="Times New Roman"/>
          <w:sz w:val="32"/>
          <w:szCs w:val="32"/>
          <w:lang w:eastAsia="zh-CN"/>
        </w:rPr>
        <w:t>非常感谢您对</w:t>
      </w:r>
      <w:r>
        <w:rPr>
          <w:rFonts w:hint="default" w:ascii="Times New Roman" w:hAnsi="Times New Roman" w:eastAsia="仿宋" w:cs="Times New Roman"/>
          <w:sz w:val="32"/>
          <w:szCs w:val="32"/>
        </w:rPr>
        <w:t>网贷监管</w:t>
      </w:r>
      <w:r>
        <w:rPr>
          <w:rFonts w:hint="default" w:ascii="Times New Roman" w:hAnsi="Times New Roman" w:eastAsia="仿宋" w:cs="Times New Roman"/>
          <w:sz w:val="32"/>
          <w:szCs w:val="32"/>
          <w:lang w:eastAsia="zh-CN"/>
        </w:rPr>
        <w:t>和打击电信网络诈骗犯罪工作的关心和关注。收到提案后，我们高度重视，立即组织召开专题研究会，研究解决和落实相关问题建议，明确下步工作要求。</w:t>
      </w:r>
      <w:r>
        <w:rPr>
          <w:rFonts w:hint="default" w:ascii="Times New Roman" w:hAnsi="Times New Roman" w:eastAsia="仿宋" w:cs="Times New Roman"/>
          <w:sz w:val="32"/>
          <w:szCs w:val="32"/>
        </w:rPr>
        <w:t>现答复如下：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一、针对提案</w:t>
      </w:r>
      <w:r>
        <w:rPr>
          <w:rFonts w:hint="default" w:ascii="Times New Roman" w:hAnsi="Times New Roman" w:eastAsia="黑体" w:cs="Times New Roman"/>
          <w:sz w:val="32"/>
          <w:szCs w:val="32"/>
        </w:rPr>
        <w:t>开展</w:t>
      </w:r>
      <w:r>
        <w:rPr>
          <w:rFonts w:hint="default" w:ascii="Times New Roman" w:hAnsi="Times New Roman" w:eastAsia="黑体" w:cs="Times New Roman"/>
          <w:sz w:val="32"/>
          <w:szCs w:val="32"/>
          <w:lang w:eastAsia="zh-CN"/>
        </w:rPr>
        <w:t>的</w:t>
      </w:r>
      <w:r>
        <w:rPr>
          <w:rFonts w:hint="default" w:ascii="Times New Roman" w:hAnsi="Times New Roman" w:eastAsia="黑体" w:cs="Times New Roman"/>
          <w:sz w:val="32"/>
          <w:szCs w:val="32"/>
        </w:rPr>
        <w:t>工作情况</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 w:cs="Times New Roman"/>
          <w:sz w:val="32"/>
          <w:szCs w:val="32"/>
        </w:rPr>
        <w:t>湖南省</w:t>
      </w:r>
      <w:r>
        <w:rPr>
          <w:rFonts w:hint="default" w:ascii="Times New Roman" w:hAnsi="Times New Roman" w:eastAsia="仿宋" w:cs="Times New Roman"/>
          <w:sz w:val="32"/>
          <w:szCs w:val="32"/>
          <w:lang w:eastAsia="zh-CN"/>
        </w:rPr>
        <w:t>各部门</w:t>
      </w:r>
      <w:r>
        <w:rPr>
          <w:rFonts w:hint="default" w:ascii="Times New Roman" w:hAnsi="Times New Roman" w:eastAsia="仿宋" w:cs="Times New Roman"/>
          <w:sz w:val="32"/>
          <w:szCs w:val="32"/>
        </w:rPr>
        <w:t>认真贯彻落实习近平总书记重要指示批示精神，按照省委、省政府决策部署，</w:t>
      </w:r>
      <w:r>
        <w:rPr>
          <w:rFonts w:hint="default" w:ascii="Times New Roman" w:hAnsi="Times New Roman" w:eastAsia="仿宋" w:cs="Times New Roman"/>
          <w:sz w:val="32"/>
          <w:szCs w:val="32"/>
          <w:lang w:eastAsia="zh-CN"/>
        </w:rPr>
        <w:t>高度重视</w:t>
      </w:r>
      <w:r>
        <w:rPr>
          <w:rFonts w:hint="default" w:ascii="Times New Roman" w:hAnsi="Times New Roman" w:eastAsia="仿宋" w:cs="Times New Roman"/>
          <w:sz w:val="32"/>
          <w:szCs w:val="32"/>
        </w:rPr>
        <w:t>打击治理电信网络诈骗犯罪</w:t>
      </w:r>
      <w:r>
        <w:rPr>
          <w:rFonts w:hint="default" w:ascii="Times New Roman" w:hAnsi="Times New Roman" w:eastAsia="仿宋" w:cs="Times New Roman"/>
          <w:sz w:val="32"/>
          <w:szCs w:val="32"/>
          <w:lang w:eastAsia="zh-CN"/>
        </w:rPr>
        <w:t>、网贷机构风险整治、打击非法集资等工作，切实维护群众利益和金融经济秩序。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000000"/>
          <w:spacing w:val="0"/>
          <w:kern w:val="2"/>
          <w:sz w:val="32"/>
          <w:szCs w:val="32"/>
          <w:lang w:val="en-US" w:eastAsia="zh-CN" w:bidi="ar-SA"/>
        </w:rPr>
      </w:pPr>
      <w:r>
        <w:rPr>
          <w:rFonts w:hint="default" w:ascii="Times New Roman" w:hAnsi="Times New Roman" w:eastAsia="楷体" w:cs="Times New Roman"/>
          <w:b/>
          <w:bCs/>
          <w:sz w:val="32"/>
          <w:szCs w:val="32"/>
          <w:lang w:val="en-US" w:eastAsia="zh-CN"/>
        </w:rPr>
        <w:t>（一）</w:t>
      </w:r>
      <w:r>
        <w:rPr>
          <w:rFonts w:hint="default" w:ascii="Times New Roman" w:hAnsi="Times New Roman" w:eastAsia="楷体" w:cs="Times New Roman"/>
          <w:b/>
          <w:bCs/>
          <w:color w:val="000000"/>
          <w:spacing w:val="0"/>
          <w:kern w:val="2"/>
          <w:sz w:val="32"/>
          <w:szCs w:val="32"/>
          <w:lang w:val="en-US" w:eastAsia="zh-CN" w:bidi="ar-SA"/>
        </w:rPr>
        <w:t>建立跨部门联动机制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1"/>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b w:val="0"/>
          <w:bCs/>
          <w:color w:val="000000"/>
          <w:kern w:val="2"/>
          <w:sz w:val="32"/>
          <w:szCs w:val="32"/>
          <w:lang w:val="en-US" w:eastAsia="zh-CN" w:bidi="ar-SA"/>
        </w:rPr>
        <w:t>我省在全国率先出台《湖南省打击治理电信网络诈骗犯罪和跨境突出犯罪工作责任制规定》，联合全省40家成员单位，充分发挥反诈打跨协调办统筹作用，全面强化打防管控宣各项措施，推动全省反诈打跨工作。2023年4月8日，省协调小组组织召开全省金融领域反诈工作调度会议，副省长、省公安厅厅长、省反诈打跨协调小组组长王一鸥出席会议。省地方金融监督管理局重新发文调整了省打击及处置非法集资和证券违法活动工作领导小组和省防范化解涉众型非法经营活动稳定风险协调小组两个机制，进一步明确两个机制成员单位职责，确保了跨部门联合打击金融犯罪工作的有效开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（二）筑牢预警劝阻防线</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color w:val="000000"/>
          <w:spacing w:val="0"/>
          <w:kern w:val="2"/>
          <w:sz w:val="32"/>
          <w:szCs w:val="32"/>
          <w:lang w:val="en-US" w:eastAsia="zh-CN" w:bidi="ar-SA"/>
        </w:rPr>
        <w:t>省公安厅部署各市州贯彻落实</w:t>
      </w:r>
      <w:r>
        <w:rPr>
          <w:rFonts w:hint="default" w:ascii="Times New Roman" w:hAnsi="Times New Roman" w:eastAsia="仿宋_GB2312" w:cs="Times New Roman"/>
          <w:b w:val="0"/>
          <w:bCs w:val="0"/>
          <w:color w:val="auto"/>
          <w:spacing w:val="0"/>
          <w:sz w:val="32"/>
          <w:szCs w:val="32"/>
          <w:lang w:val="en-US" w:eastAsia="zh-CN"/>
        </w:rPr>
        <w:t>《湖南省防范电信网络诈骗犯罪开展精准预警劝阻工作指引（试行）》</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color w:val="000000"/>
          <w:spacing w:val="0"/>
          <w:kern w:val="2"/>
          <w:sz w:val="32"/>
          <w:szCs w:val="32"/>
          <w:lang w:val="en-US" w:eastAsia="zh-CN" w:bidi="ar-SA"/>
        </w:rPr>
        <w:t>建强预警劝阻工作专班，持续完善“省级数据产出、市州全量预警、县区分类劝阻”的一体联动工作模式。快速流转部、省预警信息和运营商、科技公司等预警数据，创新启用智能反诈劝阻机器人、预警短信群发等功能，倍增精准劝阻效能。注重挖掘互联网科技企业资源，研究建立打击治理新型网络犯罪警企合作技术联合实验室，为预警劝阻工作提供服务支撑。今年以来，全省共劝阻预警</w:t>
      </w:r>
      <w:bookmarkStart w:id="0" w:name="_GoBack"/>
      <w:r>
        <w:rPr>
          <w:rFonts w:hint="default" w:ascii="Times New Roman" w:hAnsi="Times New Roman" w:eastAsia="仿宋_GB2312" w:cs="Times New Roman"/>
          <w:color w:val="000000"/>
          <w:spacing w:val="0"/>
          <w:kern w:val="2"/>
          <w:sz w:val="32"/>
          <w:szCs w:val="32"/>
          <w:lang w:val="en-US" w:eastAsia="zh-CN" w:bidi="ar-SA"/>
        </w:rPr>
        <w:t>1213.18</w:t>
      </w:r>
      <w:bookmarkEnd w:id="0"/>
      <w:r>
        <w:rPr>
          <w:rFonts w:hint="default" w:ascii="Times New Roman" w:hAnsi="Times New Roman" w:eastAsia="仿宋_GB2312" w:cs="Times New Roman"/>
          <w:color w:val="000000"/>
          <w:spacing w:val="0"/>
          <w:kern w:val="2"/>
          <w:sz w:val="32"/>
          <w:szCs w:val="32"/>
          <w:lang w:val="en-US" w:eastAsia="zh-CN" w:bidi="ar-SA"/>
        </w:rPr>
        <w:t>万人次，预警完成率、准确率均排名全国前列。</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（三）建强行业监管体系</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color w:val="000000"/>
          <w:spacing w:val="0"/>
          <w:kern w:val="2"/>
          <w:sz w:val="32"/>
          <w:szCs w:val="32"/>
          <w:lang w:val="en-US" w:eastAsia="zh-CN" w:bidi="ar-SA"/>
        </w:rPr>
        <w:t>省地方金融监管局按照“高点定位、系统谋划、突出重点、注重实效”原则，顺利完成全省地方金融风险检测预警平台建设工作，建立风险监测、预警、处置、动态跟踪一张图，形成完整工作闭环，既及时发现风险线索，又为后续立案打击、证据固定、资产追缴创造条件。目前，平台初步实现与发改、公安、人社、市场监管、税务等部门数据共享协调，于去年11月底正式上线试运营，相关风险线索实时推送至公安机关落查打击。省市场监督管理局去年全省对网络领域的虚假宣传行为立案25期，罚没共计1163.7万元。省银保监局持续推进网贷领域网贷领域存量风险处置工作，目前我省纳入专项整治的126家平台，正常退出类网贷机构平台的存量业务已经全部清零，网贷风险全部出清。我省网贷机构ICP备案注销、存款系统关闭、支付通道关闭等工作全部完成，网贷机构风险整治工作将进入常态化。</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000000"/>
          <w:spacing w:val="0"/>
          <w:kern w:val="2"/>
          <w:sz w:val="32"/>
          <w:szCs w:val="32"/>
          <w:lang w:val="en-US" w:eastAsia="zh-CN" w:bidi="ar-SA"/>
        </w:rPr>
      </w:pPr>
      <w:r>
        <w:rPr>
          <w:rFonts w:hint="default" w:ascii="Times New Roman" w:hAnsi="Times New Roman" w:eastAsia="楷体" w:cs="Times New Roman"/>
          <w:b/>
          <w:bCs/>
          <w:color w:val="000000"/>
          <w:spacing w:val="0"/>
          <w:kern w:val="2"/>
          <w:sz w:val="32"/>
          <w:szCs w:val="32"/>
          <w:lang w:val="en-US" w:eastAsia="zh-CN" w:bidi="ar-SA"/>
        </w:rPr>
        <w:t>（四）开展宣传防范教育</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color w:val="000000"/>
          <w:spacing w:val="0"/>
          <w:kern w:val="2"/>
          <w:sz w:val="32"/>
          <w:szCs w:val="32"/>
          <w:lang w:val="en-US" w:eastAsia="zh-CN" w:bidi="ar-SA"/>
        </w:rPr>
        <w:t>省协调办</w:t>
      </w:r>
      <w:r>
        <w:rPr>
          <w:rFonts w:hint="default" w:ascii="Times New Roman" w:hAnsi="Times New Roman" w:eastAsia="仿宋_GB2312" w:cs="Times New Roman"/>
          <w:b w:val="0"/>
          <w:bCs w:val="0"/>
          <w:color w:val="auto"/>
          <w:spacing w:val="0"/>
          <w:sz w:val="32"/>
          <w:szCs w:val="32"/>
          <w:highlight w:val="none"/>
          <w:lang w:val="en-US" w:eastAsia="zh-CN"/>
        </w:rPr>
        <w:t>发动各地、省直各成员单位开展召开新闻发布会、反诈集中宣传月、反诈宣传“五进”等活动，营造大张旗鼓的反诈声势。联合湖南日报、湖南建设银行创新推出湖南省“全民行动·无诈三湘”新媒体创意大赛，浏览量超过1000万次，全民反诈氛围日益浓厚。</w:t>
      </w:r>
      <w:r>
        <w:rPr>
          <w:rFonts w:hint="default" w:ascii="Times New Roman" w:hAnsi="Times New Roman" w:eastAsia="仿宋_GB2312" w:cs="Times New Roman"/>
          <w:color w:val="000000"/>
          <w:spacing w:val="0"/>
          <w:kern w:val="2"/>
          <w:sz w:val="32"/>
          <w:szCs w:val="32"/>
          <w:lang w:val="en-US" w:eastAsia="zh-CN" w:bidi="ar-SA"/>
        </w:rPr>
        <w:t>省地方金融监管局对开展防范非法集资宣传教育活动各项要求进行了硬化和细化，各地各部门积极响应、认真组织，坚持“以网治网”思维，强化线上线下协同宣传，通过举办大型集中宣传活动、发送宣传短信、播放公益广告、开办防非专栏等方式广泛开展宣传，成效明显。省处非办与湖南电视台合作打造“守住钱袋子”防范金融风险专题节目，每周六晚黄金时间在湖南都市频道播出，目前已播出30期，起到了良好的宣传效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下步工作</w:t>
      </w:r>
      <w:r>
        <w:rPr>
          <w:rFonts w:hint="default" w:ascii="Times New Roman" w:hAnsi="Times New Roman" w:eastAsia="黑体" w:cs="Times New Roman"/>
          <w:bCs/>
          <w:sz w:val="32"/>
          <w:szCs w:val="32"/>
          <w:lang w:eastAsia="zh-CN"/>
        </w:rPr>
        <w:t>打算</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eastAsia="zh-CN"/>
        </w:rPr>
      </w:pPr>
      <w:r>
        <w:rPr>
          <w:rFonts w:hint="default" w:ascii="Times New Roman" w:hAnsi="Times New Roman" w:eastAsia="仿宋" w:cs="Times New Roman"/>
          <w:bCs/>
          <w:sz w:val="32"/>
          <w:szCs w:val="32"/>
          <w:lang w:eastAsia="zh-CN"/>
        </w:rPr>
        <w:t>您所提的相关提案我们已结合实际研究采纳，正如提案所提到，当前网贷监管和电信网络诈骗问题突出，形势严峻，打击治理工作仍然任重道远。下一步，我们将以此次提案办理工作为契机，全面加强打击治理电信网络诈骗犯罪和网贷监管工作，解决群众关注的突出问题，营造良好的金融安全环境，切实提升人民获得感、幸福感、安全</w:t>
      </w:r>
      <w:r>
        <w:rPr>
          <w:rFonts w:hint="default" w:ascii="Times New Roman" w:hAnsi="Times New Roman" w:eastAsia="仿宋" w:cs="Times New Roman"/>
          <w:bCs/>
          <w:sz w:val="32"/>
          <w:szCs w:val="32"/>
        </w:rPr>
        <w:t>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 w:cs="Times New Roman"/>
          <w:bCs/>
          <w:sz w:val="32"/>
          <w:szCs w:val="32"/>
          <w:lang w:eastAsia="zh-CN"/>
        </w:rPr>
      </w:pPr>
      <w:r>
        <w:rPr>
          <w:rFonts w:hint="default" w:ascii="Times New Roman" w:hAnsi="Times New Roman" w:eastAsia="楷体" w:cs="Times New Roman"/>
          <w:b/>
          <w:bCs/>
          <w:sz w:val="32"/>
          <w:szCs w:val="32"/>
          <w:lang w:eastAsia="zh-CN"/>
        </w:rPr>
        <w:t>（一）进一步强化顶层设计。</w:t>
      </w:r>
      <w:r>
        <w:rPr>
          <w:rFonts w:hint="default" w:ascii="Times New Roman" w:hAnsi="Times New Roman" w:eastAsia="仿宋" w:cs="Times New Roman"/>
          <w:bCs/>
          <w:sz w:val="32"/>
          <w:szCs w:val="32"/>
          <w:lang w:eastAsia="zh-CN"/>
        </w:rPr>
        <w:t>贯彻落实“</w:t>
      </w:r>
      <w:r>
        <w:rPr>
          <w:rFonts w:hint="default" w:ascii="Times New Roman" w:hAnsi="Times New Roman" w:eastAsia="仿宋" w:cs="Times New Roman"/>
          <w:bCs/>
          <w:sz w:val="32"/>
          <w:szCs w:val="32"/>
          <w:lang w:val="en-US" w:eastAsia="zh-CN"/>
        </w:rPr>
        <w:t>4.08</w:t>
      </w:r>
      <w:r>
        <w:rPr>
          <w:rFonts w:hint="default" w:ascii="Times New Roman" w:hAnsi="Times New Roman" w:eastAsia="仿宋" w:cs="Times New Roman"/>
          <w:bCs/>
          <w:sz w:val="32"/>
          <w:szCs w:val="32"/>
          <w:lang w:eastAsia="zh-CN"/>
        </w:rPr>
        <w:t>”会议精神，完善省反诈打跨协调办工作机制，建立健全三级协调办工作规范，完善“三清单一考核”制度（责任清单、任务清单、工作措施清单、对成员单位和各级协调办的考核制度）。充分发挥省反诈打跨协调办作用，督促金融、通信、互联网等行业部门增强依法治理观念，根据《反诈法》条文内容研究制定相应行业管理规范和制度，成立反诈工作专班，确定专门力量，配合公安机关开展打击防范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 w:cs="Times New Roman"/>
          <w:bCs/>
          <w:sz w:val="32"/>
          <w:szCs w:val="32"/>
          <w:lang w:val="en-US" w:eastAsia="zh-CN"/>
        </w:rPr>
      </w:pPr>
      <w:r>
        <w:rPr>
          <w:rFonts w:hint="default" w:ascii="Times New Roman" w:hAnsi="Times New Roman" w:eastAsia="楷体" w:cs="Times New Roman"/>
          <w:b/>
          <w:bCs/>
          <w:sz w:val="32"/>
          <w:szCs w:val="32"/>
          <w:lang w:eastAsia="zh-CN"/>
        </w:rPr>
        <w:t>（二）进一步加强专题研究。</w:t>
      </w:r>
      <w:r>
        <w:rPr>
          <w:rFonts w:hint="default" w:ascii="Times New Roman" w:hAnsi="Times New Roman" w:eastAsia="仿宋" w:cs="Times New Roman"/>
          <w:bCs/>
          <w:sz w:val="32"/>
          <w:szCs w:val="32"/>
          <w:lang w:eastAsia="zh-CN"/>
        </w:rPr>
        <w:t>推动党委政府加强研究、制定本地加强打击治理电信网络诈骗违法犯罪工作意见。推动部门行业加强研究，通讯、金融、网络等重点领域依托专业特长和优势资源，及时发现风险漏洞，研究采取技术防控和行业治理措施。推动学术机构加强研究，院校、科研院所等学术机构组建智库和专家团体，加强对网贷监管和电信网络诈骗理论和技术研究，形成高质量的研究成果，为打击治理工作实践提供理论支撑。</w:t>
      </w:r>
      <w:r>
        <w:rPr>
          <w:rFonts w:hint="default" w:ascii="Times New Roman" w:hAnsi="Times New Roman" w:eastAsia="仿宋" w:cs="Times New Roman"/>
          <w:bCs/>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pacing w:line="580" w:lineRule="exact"/>
        <w:ind w:left="0" w:leftChars="0" w:firstLine="643" w:firstLineChars="200"/>
        <w:textAlignment w:val="auto"/>
        <w:rPr>
          <w:rFonts w:hint="default" w:ascii="Times New Roman" w:hAnsi="Times New Roman" w:eastAsia="仿宋" w:cs="Times New Roman"/>
          <w:bCs/>
          <w:sz w:val="32"/>
          <w:szCs w:val="32"/>
          <w:lang w:val="en-US" w:eastAsia="zh-CN"/>
        </w:rPr>
      </w:pPr>
      <w:r>
        <w:rPr>
          <w:rFonts w:hint="default" w:ascii="Times New Roman" w:hAnsi="Times New Roman" w:eastAsia="楷体" w:cs="Times New Roman"/>
          <w:b/>
          <w:bCs/>
          <w:kern w:val="2"/>
          <w:sz w:val="32"/>
          <w:szCs w:val="32"/>
          <w:lang w:val="en-US" w:eastAsia="zh-CN" w:bidi="ar-SA"/>
        </w:rPr>
        <w:t>（三）进一步高质效打击。</w:t>
      </w:r>
      <w:r>
        <w:rPr>
          <w:rFonts w:hint="default" w:ascii="Times New Roman" w:hAnsi="Times New Roman" w:eastAsia="仿宋" w:cs="Times New Roman"/>
          <w:bCs/>
          <w:kern w:val="2"/>
          <w:sz w:val="32"/>
          <w:szCs w:val="32"/>
          <w:lang w:val="en-US" w:eastAsia="zh-CN" w:bidi="ar-SA"/>
        </w:rPr>
        <w:t>依照我省重大案件侦办工作机制，坚持依法严打方针，依托“拔钉”“长城”“510”“断流”行动，组织开展出境打击，全力铲除境外窝点和组织人员。常态化开展区域会战和集群战役，严厉打击境内关键作案环节，斩断黑灰产犯罪链条。组织开展全链条多环节打击，按照“三定五清”标准，立足本地打回流，力争查清境外窝点，抓获主要犯罪人员。综合运用刑事、行政、民事手段，强化依法严惩，形成严厉打击震慑。</w:t>
      </w:r>
    </w:p>
    <w:p>
      <w:pPr>
        <w:pStyle w:val="7"/>
        <w:keepNext w:val="0"/>
        <w:keepLines w:val="0"/>
        <w:pageBreakBefore w:val="0"/>
        <w:widowControl w:val="0"/>
        <w:kinsoku/>
        <w:wordWrap/>
        <w:overflowPunct/>
        <w:topLinePunct w:val="0"/>
        <w:autoSpaceDE/>
        <w:autoSpaceDN/>
        <w:bidi w:val="0"/>
        <w:adjustRightInd/>
        <w:spacing w:line="580" w:lineRule="exact"/>
        <w:ind w:left="0" w:leftChars="0"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（四）</w:t>
      </w:r>
      <w:r>
        <w:rPr>
          <w:rFonts w:hint="default" w:ascii="Times New Roman" w:hAnsi="Times New Roman" w:eastAsia="楷体" w:cs="Times New Roman"/>
          <w:b/>
          <w:bCs/>
          <w:sz w:val="32"/>
          <w:szCs w:val="32"/>
          <w:lang w:eastAsia="zh-CN"/>
        </w:rPr>
        <w:t>进一步开展</w:t>
      </w:r>
      <w:r>
        <w:rPr>
          <w:rFonts w:hint="default" w:ascii="Times New Roman" w:hAnsi="Times New Roman" w:eastAsia="楷体" w:cs="Times New Roman"/>
          <w:b/>
          <w:bCs/>
          <w:sz w:val="32"/>
          <w:szCs w:val="32"/>
        </w:rPr>
        <w:t>宣传防范</w:t>
      </w:r>
      <w:r>
        <w:rPr>
          <w:rFonts w:hint="default" w:ascii="Times New Roman" w:hAnsi="Times New Roman" w:eastAsia="楷体" w:cs="Times New Roman"/>
          <w:b/>
          <w:bCs/>
          <w:sz w:val="32"/>
          <w:szCs w:val="32"/>
          <w:lang w:eastAsia="zh-CN"/>
        </w:rPr>
        <w:t>。</w:t>
      </w:r>
      <w:r>
        <w:rPr>
          <w:rFonts w:hint="default" w:ascii="Times New Roman" w:hAnsi="Times New Roman" w:eastAsia="仿宋_GB2312" w:cs="Times New Roman"/>
          <w:color w:val="000000"/>
          <w:kern w:val="2"/>
          <w:sz w:val="32"/>
          <w:szCs w:val="32"/>
          <w:lang w:val="en-US" w:eastAsia="zh-CN" w:bidi="ar-SA"/>
        </w:rPr>
        <w:t>充分利用公安大数据，联合金融、电信、网信等部门以及互联网服务提供者，不断扩大预警源，以及发现潜在风险。完善劝阻工作机制，分级分类实施劝阻，提升预警劝阻效率。协调省通管局加强专业系统建设，提升涉诈电话短信拦截、域名网址封堵等机制。加强易受骗群体、案件高发行业和重点地区的精准宣传，全面开展“五进”宣传活动，筑牢群众思想防线，最大限度压降发案、减少损失。</w:t>
      </w:r>
    </w:p>
    <w:p>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17"/>
        </w:pBdr>
        <w:kinsoku/>
        <w:wordWrap w:val="0"/>
        <w:overflowPunct/>
        <w:topLinePunct w:val="0"/>
        <w:autoSpaceDE w:val="0"/>
        <w:autoSpaceDN w:val="0"/>
        <w:bidi w:val="0"/>
        <w:adjustRightInd w:val="0"/>
        <w:snapToGrid w:val="0"/>
        <w:spacing w:line="580" w:lineRule="exact"/>
        <w:ind w:left="0" w:leftChars="0" w:right="0" w:rightChars="0" w:firstLine="640"/>
        <w:jc w:val="both"/>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 w:cs="Times New Roman"/>
          <w:sz w:val="32"/>
          <w:szCs w:val="32"/>
          <w:lang w:val="en-US" w:eastAsia="zh-CN"/>
        </w:rPr>
        <w:t xml:space="preserve">感谢您对政法公安工作的关心和支持！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6"/>
          <w:szCs w:val="36"/>
          <w:lang w:val="en-US" w:eastAsia="zh-CN"/>
        </w:rPr>
        <w:t xml:space="preserve">                   </w:t>
      </w:r>
    </w:p>
    <w:p>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17"/>
        </w:pBdr>
        <w:kinsoku/>
        <w:wordWrap w:val="0"/>
        <w:overflowPunct/>
        <w:topLinePunct w:val="0"/>
        <w:autoSpaceDE w:val="0"/>
        <w:autoSpaceDN w:val="0"/>
        <w:bidi w:val="0"/>
        <w:adjustRightInd w:val="0"/>
        <w:snapToGrid w:val="0"/>
        <w:spacing w:line="580" w:lineRule="exact"/>
        <w:ind w:left="0" w:leftChars="0" w:right="0" w:rightChars="0" w:firstLine="640"/>
        <w:jc w:val="both"/>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lang w:val="en-US" w:eastAsia="zh-CN"/>
        </w:rPr>
        <w:t xml:space="preserve"> 湖南省公安厅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_GB2312" w:eastAsia="仿宋_GB2312"/>
          <w:sz w:val="32"/>
          <w:szCs w:val="32"/>
          <w:highlight w:val="none"/>
        </w:rPr>
      </w:pPr>
      <w:r>
        <w:rPr>
          <w:rFonts w:hint="default" w:ascii="Times New Roman" w:hAnsi="Times New Roman" w:eastAsia="仿宋_GB2312" w:cs="Times New Roman"/>
          <w:sz w:val="32"/>
          <w:szCs w:val="32"/>
          <w:lang w:val="en-US" w:eastAsia="zh-CN"/>
        </w:rPr>
        <w:t xml:space="preserve">                    2023年5月25日</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rPr>
        <w:t>联系单位：省公安厅</w:t>
      </w:r>
      <w:r>
        <w:rPr>
          <w:rFonts w:hint="eastAsia" w:ascii="仿宋_GB2312" w:eastAsia="仿宋_GB2312"/>
          <w:sz w:val="32"/>
          <w:szCs w:val="32"/>
          <w:highlight w:val="none"/>
          <w:lang w:eastAsia="zh-CN"/>
        </w:rPr>
        <w:t>刑侦总队</w:t>
      </w:r>
      <w:r>
        <w:rPr>
          <w:rFonts w:hint="eastAsia" w:ascii="仿宋_GB2312" w:eastAsia="仿宋_GB2312"/>
          <w:sz w:val="32"/>
          <w:szCs w:val="32"/>
          <w:highlight w:val="none"/>
          <w:lang w:val="en-US" w:eastAsia="zh-CN"/>
        </w:rPr>
        <w:t xml:space="preserve">  联系人：李旭</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rPr>
        <w:t>联系电话：</w:t>
      </w:r>
      <w:r>
        <w:rPr>
          <w:rFonts w:hint="eastAsia" w:ascii="仿宋_GB2312" w:eastAsia="仿宋_GB2312"/>
          <w:sz w:val="32"/>
          <w:szCs w:val="32"/>
          <w:highlight w:val="none"/>
          <w:lang w:val="en-US" w:eastAsia="zh-CN"/>
        </w:rPr>
        <w:t>84597004          手机号码：13308464176</w:t>
      </w:r>
    </w:p>
    <w:p>
      <w:pPr>
        <w:pStyle w:val="5"/>
        <w:ind w:left="0" w:leftChars="0" w:firstLine="0" w:firstLineChars="0"/>
        <w:rPr>
          <w:rFonts w:hint="eastAsia"/>
          <w:lang w:eastAsia="zh-CN"/>
        </w:rPr>
      </w:pPr>
      <w:r>
        <w:rPr>
          <w:rFonts w:hint="eastAsia" w:ascii="仿宋_GB2312" w:eastAsia="仿宋_GB2312"/>
          <w:sz w:val="32"/>
          <w:szCs w:val="32"/>
          <w:highlight w:val="none"/>
        </w:rPr>
        <w:t>抄</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送：省政府办公厅</w:t>
      </w:r>
      <w:r>
        <w:rPr>
          <w:rFonts w:hint="eastAsia" w:ascii="仿宋_GB2312" w:eastAsia="仿宋_GB2312"/>
          <w:sz w:val="32"/>
          <w:szCs w:val="32"/>
          <w:highlight w:val="none"/>
          <w:lang w:eastAsia="zh-CN"/>
        </w:rPr>
        <w:t>，省政协提案委</w:t>
      </w:r>
      <w:r>
        <w:rPr>
          <w:rFonts w:hint="eastAsia" w:ascii="仿宋" w:hAnsi="仿宋" w:eastAsia="仿宋" w:cs="仿宋"/>
          <w:sz w:val="36"/>
          <w:szCs w:val="36"/>
          <w:lang w:val="en-US" w:eastAsia="zh-CN"/>
        </w:rPr>
        <w:t xml:space="preserve">     </w:t>
      </w:r>
    </w:p>
    <w:sectPr>
      <w:footerReference r:id="rId3" w:type="default"/>
      <w:pgSz w:w="11906" w:h="16838"/>
      <w:pgMar w:top="1440" w:right="1800" w:bottom="1440"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43C04"/>
    <w:rsid w:val="0B596F38"/>
    <w:rsid w:val="13614596"/>
    <w:rsid w:val="139400A9"/>
    <w:rsid w:val="16CC422E"/>
    <w:rsid w:val="21A44CF2"/>
    <w:rsid w:val="2B6449F6"/>
    <w:rsid w:val="2C2C7B81"/>
    <w:rsid w:val="2D9C42E8"/>
    <w:rsid w:val="331108C4"/>
    <w:rsid w:val="3744685A"/>
    <w:rsid w:val="3AF24340"/>
    <w:rsid w:val="3B8321B3"/>
    <w:rsid w:val="3F85178E"/>
    <w:rsid w:val="43F76AA7"/>
    <w:rsid w:val="450D2B8A"/>
    <w:rsid w:val="48375045"/>
    <w:rsid w:val="49363CBC"/>
    <w:rsid w:val="4A617022"/>
    <w:rsid w:val="54C43C04"/>
    <w:rsid w:val="65EB51A2"/>
    <w:rsid w:val="71667860"/>
    <w:rsid w:val="7E09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rPr>
      <w:rFonts w:ascii="仿宋_GB2312" w:hAnsi="Times New Roman" w:eastAsia="仿宋_GB2312" w:cs="Times New Roman"/>
      <w:sz w:val="32"/>
      <w:szCs w:val="32"/>
    </w:r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index 5"/>
    <w:basedOn w:val="1"/>
    <w:next w:val="1"/>
    <w:qFormat/>
    <w:uiPriority w:val="0"/>
    <w:pPr>
      <w:ind w:left="1680"/>
    </w:pPr>
  </w:style>
  <w:style w:type="paragraph" w:styleId="6">
    <w:name w:val="Body Text Indent"/>
    <w:basedOn w:val="1"/>
    <w:next w:val="4"/>
    <w:qFormat/>
    <w:uiPriority w:val="0"/>
    <w:pPr>
      <w:ind w:firstLine="640" w:firstLineChars="200"/>
    </w:pPr>
    <w:rPr>
      <w:rFonts w:ascii="Calibri" w:hAnsi="Calibri" w:eastAsia="Times New Roman" w:cs="Times New Roman"/>
      <w:bCs/>
      <w:sz w:val="32"/>
    </w:r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Body Text First Indent 2"/>
    <w:basedOn w:val="6"/>
    <w:next w:val="1"/>
    <w:qFormat/>
    <w:uiPriority w:val="0"/>
    <w:pPr>
      <w:ind w:firstLine="420"/>
    </w:pPr>
    <w:rPr>
      <w:kern w:val="0"/>
      <w:sz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BlockQuote"/>
    <w:basedOn w:val="1"/>
    <w:qFormat/>
    <w:uiPriority w:val="0"/>
    <w:pPr>
      <w:spacing w:line="192" w:lineRule="auto"/>
      <w:ind w:left="113" w:right="113"/>
    </w:pPr>
    <w:rPr>
      <w:rFonts w:ascii="宋体"/>
      <w:spacing w:val="-6"/>
      <w:sz w:val="18"/>
      <w:szCs w:val="20"/>
    </w:rPr>
  </w:style>
  <w:style w:type="paragraph" w:customStyle="1" w:styleId="13">
    <w:name w:val="List Paragraph"/>
    <w:basedOn w:val="1"/>
    <w:qFormat/>
    <w:uiPriority w:val="34"/>
    <w:pPr>
      <w:ind w:firstLine="420" w:firstLineChars="200"/>
    </w:pPr>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286</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2023-02-07T01:02:00Z</dcterms:created>
  <dc:creator>Administrator</dc:creator>
  <cp:lastModifiedBy>Administrator</cp:lastModifiedBy>
  <cp:lastPrinted>2023-05-24T02:02:00Z</cp:lastPrinted>
  <dcterms:modified xsi:type="dcterms:W3CDTF">2023-05-26T09:02:11Z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